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71"/>
        <w:gridCol w:w="697"/>
        <w:gridCol w:w="2291"/>
        <w:gridCol w:w="708"/>
        <w:gridCol w:w="852"/>
        <w:gridCol w:w="565"/>
        <w:gridCol w:w="262"/>
        <w:gridCol w:w="167"/>
        <w:gridCol w:w="685"/>
        <w:gridCol w:w="450"/>
        <w:gridCol w:w="115"/>
        <w:gridCol w:w="467"/>
        <w:gridCol w:w="593"/>
        <w:gridCol w:w="748"/>
      </w:tblGrid>
      <w:tr w:rsidR="00390728" w:rsidRPr="00A8053F" w:rsidTr="00943A0A">
        <w:tc>
          <w:tcPr>
            <w:tcW w:w="5000" w:type="pct"/>
            <w:gridSpan w:val="14"/>
            <w:shd w:val="clear" w:color="auto" w:fill="auto"/>
          </w:tcPr>
          <w:p w:rsidR="00206462" w:rsidRPr="00A8053F" w:rsidRDefault="00206462" w:rsidP="002064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8B3D44" w:rsidRPr="00A8053F" w:rsidRDefault="00465AD7" w:rsidP="008B3D44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PZhSKKM</w:t>
            </w:r>
            <w:r w:rsidRPr="00A8053F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  <w:r w:rsidR="008B3D44" w:rsidRPr="00A8053F">
              <w:rPr>
                <w:rFonts w:ascii="Times New Roman" w:hAnsi="Times New Roman" w:cs="Times New Roman"/>
                <w:b/>
                <w:caps/>
                <w:lang w:val="kk-KZ"/>
              </w:rPr>
              <w:t>«</w:t>
            </w:r>
            <w:r w:rsidRPr="00A8053F">
              <w:rPr>
                <w:rFonts w:ascii="Times New Roman" w:hAnsi="Times New Roman" w:cs="Times New Roman"/>
                <w:b/>
                <w:caps/>
                <w:lang w:val="kk-KZ"/>
              </w:rPr>
              <w:t>Планетаның жасанды серігі қозғалысының қолданбалы мәселелері</w:t>
            </w:r>
            <w:r w:rsidR="008B3D44" w:rsidRPr="00A8053F">
              <w:rPr>
                <w:rFonts w:ascii="Times New Roman" w:hAnsi="Times New Roman" w:cs="Times New Roman"/>
                <w:b/>
                <w:caps/>
                <w:lang w:val="kk-KZ"/>
              </w:rPr>
              <w:t>»</w:t>
            </w:r>
          </w:p>
          <w:p w:rsidR="00206462" w:rsidRPr="00A8053F" w:rsidRDefault="00206462" w:rsidP="0020646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күзгі семестрі</w:t>
            </w:r>
            <w:r w:rsidR="000E3030">
              <w:rPr>
                <w:rFonts w:ascii="Times New Roman" w:hAnsi="Times New Roman" w:cs="Times New Roman"/>
                <w:lang w:val="en-US"/>
              </w:rPr>
              <w:t xml:space="preserve"> 2018</w:t>
            </w:r>
            <w:r w:rsidRPr="00A8053F">
              <w:rPr>
                <w:rFonts w:ascii="Times New Roman" w:hAnsi="Times New Roman" w:cs="Times New Roman"/>
                <w:lang w:val="en-US"/>
              </w:rPr>
              <w:t>-201</w:t>
            </w:r>
            <w:r w:rsidR="000E3030">
              <w:rPr>
                <w:rFonts w:ascii="Times New Roman" w:hAnsi="Times New Roman" w:cs="Times New Roman"/>
                <w:lang w:val="en-US"/>
              </w:rPr>
              <w:t>9</w:t>
            </w:r>
            <w:r w:rsidRPr="00A8053F">
              <w:rPr>
                <w:rFonts w:ascii="Times New Roman" w:hAnsi="Times New Roman" w:cs="Times New Roman"/>
                <w:lang w:val="kk-KZ"/>
              </w:rPr>
              <w:t>оқу жылы</w:t>
            </w:r>
          </w:p>
          <w:p w:rsidR="00206462" w:rsidRPr="00A8053F" w:rsidRDefault="00206462" w:rsidP="00206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66AA" w:rsidRPr="00A8053F" w:rsidTr="005715E4">
        <w:trPr>
          <w:trHeight w:val="265"/>
        </w:trPr>
        <w:tc>
          <w:tcPr>
            <w:tcW w:w="871" w:type="pct"/>
            <w:gridSpan w:val="2"/>
            <w:vMerge w:val="restart"/>
          </w:tcPr>
          <w:p w:rsidR="00390728" w:rsidRPr="00A8053F" w:rsidRDefault="00144C52" w:rsidP="00144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Пәннің к</w:t>
            </w:r>
            <w:r w:rsidR="00390728" w:rsidRPr="00A8053F">
              <w:rPr>
                <w:rFonts w:ascii="Times New Roman" w:hAnsi="Times New Roman" w:cs="Times New Roman"/>
                <w:b/>
              </w:rPr>
              <w:t>од</w:t>
            </w:r>
            <w:r w:rsidRPr="00A8053F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="00390728" w:rsidRPr="00A805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97" w:type="pct"/>
            <w:vMerge w:val="restart"/>
          </w:tcPr>
          <w:p w:rsidR="00144C52" w:rsidRPr="00A8053F" w:rsidRDefault="00144C52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Пәннің аты</w:t>
            </w:r>
          </w:p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" w:type="pct"/>
            <w:vMerge w:val="restart"/>
          </w:tcPr>
          <w:p w:rsidR="00390728" w:rsidRPr="00A8053F" w:rsidRDefault="00144C52" w:rsidP="00144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түрі</w:t>
            </w:r>
          </w:p>
        </w:tc>
        <w:tc>
          <w:tcPr>
            <w:tcW w:w="1557" w:type="pct"/>
            <w:gridSpan w:val="6"/>
          </w:tcPr>
          <w:p w:rsidR="00390728" w:rsidRPr="00A8053F" w:rsidRDefault="00144C52" w:rsidP="00144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614" w:type="pct"/>
            <w:gridSpan w:val="3"/>
            <w:vMerge w:val="restart"/>
          </w:tcPr>
          <w:p w:rsidR="00390728" w:rsidRPr="00A8053F" w:rsidRDefault="00144C52" w:rsidP="00144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К</w:t>
            </w:r>
            <w:proofErr w:type="spellStart"/>
            <w:r w:rsidR="00390728" w:rsidRPr="00A8053F">
              <w:rPr>
                <w:rFonts w:ascii="Times New Roman" w:hAnsi="Times New Roman" w:cs="Times New Roman"/>
                <w:b/>
              </w:rPr>
              <w:t>редит</w:t>
            </w:r>
            <w:proofErr w:type="spellEnd"/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391" w:type="pct"/>
            <w:vMerge w:val="restart"/>
          </w:tcPr>
          <w:p w:rsidR="00390728" w:rsidRPr="00A8053F" w:rsidRDefault="00390728" w:rsidP="00307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053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366AA" w:rsidRPr="00A8053F" w:rsidTr="005715E4">
        <w:trPr>
          <w:trHeight w:val="265"/>
        </w:trPr>
        <w:tc>
          <w:tcPr>
            <w:tcW w:w="871" w:type="pct"/>
            <w:gridSpan w:val="2"/>
            <w:vMerge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pct"/>
            <w:vMerge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" w:type="pct"/>
            <w:vMerge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519" w:type="pct"/>
            <w:gridSpan w:val="3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53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593" w:type="pct"/>
            <w:gridSpan w:val="2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053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614" w:type="pct"/>
            <w:gridSpan w:val="3"/>
            <w:vMerge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pct"/>
            <w:vMerge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6AA" w:rsidRPr="00A8053F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465AD7" w:rsidP="0094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053F">
              <w:rPr>
                <w:rFonts w:ascii="Times New Roman" w:hAnsi="Times New Roman" w:cs="Times New Roman"/>
                <w:lang w:val="en-US"/>
              </w:rPr>
              <w:t>PZhSKKM</w:t>
            </w:r>
            <w:proofErr w:type="spellEnd"/>
          </w:p>
        </w:tc>
        <w:tc>
          <w:tcPr>
            <w:tcW w:w="1197" w:type="pct"/>
            <w:shd w:val="clear" w:color="auto" w:fill="auto"/>
          </w:tcPr>
          <w:p w:rsidR="00390728" w:rsidRPr="00A8053F" w:rsidRDefault="00465AD7" w:rsidP="009B39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caps/>
                <w:lang w:val="kk-KZ"/>
              </w:rPr>
              <w:t>Планетаның жасанды серігі қозғалысының қолданбалы мәселелері</w:t>
            </w:r>
          </w:p>
        </w:tc>
        <w:tc>
          <w:tcPr>
            <w:tcW w:w="370" w:type="pct"/>
            <w:shd w:val="clear" w:color="auto" w:fill="auto"/>
          </w:tcPr>
          <w:p w:rsidR="00390728" w:rsidRPr="00A8053F" w:rsidRDefault="00EF02DB" w:rsidP="00EF0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КБ</w:t>
            </w:r>
          </w:p>
        </w:tc>
        <w:tc>
          <w:tcPr>
            <w:tcW w:w="445" w:type="pct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pct"/>
            <w:gridSpan w:val="3"/>
            <w:shd w:val="clear" w:color="auto" w:fill="auto"/>
          </w:tcPr>
          <w:p w:rsidR="00390728" w:rsidRPr="00A8053F" w:rsidRDefault="00C14C16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pct"/>
            <w:gridSpan w:val="2"/>
            <w:shd w:val="clear" w:color="auto" w:fill="auto"/>
          </w:tcPr>
          <w:p w:rsidR="00390728" w:rsidRPr="00A8053F" w:rsidRDefault="00C14C16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" w:type="pct"/>
            <w:shd w:val="clear" w:color="auto" w:fill="auto"/>
          </w:tcPr>
          <w:p w:rsidR="00390728" w:rsidRPr="00A8053F" w:rsidRDefault="00C14C16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943A0A" w:rsidRPr="000E3030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E4545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8053F">
              <w:rPr>
                <w:rFonts w:ascii="Times New Roman" w:hAnsi="Times New Roman" w:cs="Times New Roman"/>
                <w:b/>
              </w:rPr>
              <w:t>Пререквизиттер</w:t>
            </w:r>
            <w:proofErr w:type="spellEnd"/>
          </w:p>
        </w:tc>
        <w:tc>
          <w:tcPr>
            <w:tcW w:w="4129" w:type="pct"/>
            <w:gridSpan w:val="12"/>
            <w:shd w:val="clear" w:color="auto" w:fill="auto"/>
          </w:tcPr>
          <w:p w:rsidR="00465AD7" w:rsidRPr="00A8053F" w:rsidRDefault="00465AD7" w:rsidP="00465A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Ғарышқа ұшу динамикасы,аспан механикасы,  теориялық механика, диффериалдық теңдеулер теориясы, математикалық физика  теңдеулері, КАФТ.</w:t>
            </w:r>
          </w:p>
          <w:p w:rsidR="00390728" w:rsidRPr="00A8053F" w:rsidRDefault="00390728" w:rsidP="00B6113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54CC" w:rsidRPr="00A8053F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144C52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Дәріскер:</w:t>
            </w:r>
          </w:p>
        </w:tc>
        <w:tc>
          <w:tcPr>
            <w:tcW w:w="2307" w:type="pct"/>
            <w:gridSpan w:val="4"/>
            <w:shd w:val="clear" w:color="auto" w:fill="auto"/>
          </w:tcPr>
          <w:p w:rsidR="00390728" w:rsidRPr="00A8053F" w:rsidRDefault="00206462" w:rsidP="00431B1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ф.-м.ғ.д., проф. Минглибаев Мұхтар Жұмабекұлы</w:t>
            </w:r>
          </w:p>
        </w:tc>
        <w:tc>
          <w:tcPr>
            <w:tcW w:w="817" w:type="pct"/>
            <w:gridSpan w:val="4"/>
            <w:vMerge w:val="restart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1005" w:type="pct"/>
            <w:gridSpan w:val="4"/>
            <w:vMerge w:val="restart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D854CC" w:rsidRPr="00A8053F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8053F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2307" w:type="pct"/>
            <w:gridSpan w:val="4"/>
            <w:shd w:val="clear" w:color="auto" w:fill="auto"/>
          </w:tcPr>
          <w:p w:rsidR="00390728" w:rsidRPr="00A8053F" w:rsidRDefault="000E3030" w:rsidP="0020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206462" w:rsidRPr="00A8053F">
                <w:rPr>
                  <w:rStyle w:val="aa"/>
                  <w:rFonts w:ascii="Times New Roman" w:eastAsia="Bookman Old Style" w:hAnsi="Times New Roman" w:cs="Times New Roman"/>
                  <w:lang w:val="en-US"/>
                </w:rPr>
                <w:t>mmkaznu@mail.ru</w:t>
              </w:r>
            </w:hyperlink>
          </w:p>
        </w:tc>
        <w:tc>
          <w:tcPr>
            <w:tcW w:w="817" w:type="pct"/>
            <w:gridSpan w:val="4"/>
            <w:vMerge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5" w:type="pct"/>
            <w:gridSpan w:val="4"/>
            <w:vMerge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54CC" w:rsidRPr="00A8053F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2307" w:type="pct"/>
            <w:gridSpan w:val="4"/>
            <w:shd w:val="clear" w:color="auto" w:fill="auto"/>
          </w:tcPr>
          <w:p w:rsidR="00390728" w:rsidRPr="00A8053F" w:rsidRDefault="007D38EA" w:rsidP="00B5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8053F">
              <w:rPr>
                <w:rFonts w:ascii="Times New Roman" w:hAnsi="Times New Roman" w:cs="Times New Roman"/>
                <w:lang w:val="en-US"/>
              </w:rPr>
              <w:t>8 (727) 2211580</w:t>
            </w:r>
          </w:p>
        </w:tc>
        <w:tc>
          <w:tcPr>
            <w:tcW w:w="817" w:type="pct"/>
            <w:gridSpan w:val="4"/>
            <w:shd w:val="clear" w:color="auto" w:fill="auto"/>
          </w:tcPr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1005" w:type="pct"/>
            <w:gridSpan w:val="4"/>
            <w:shd w:val="clear" w:color="auto" w:fill="auto"/>
          </w:tcPr>
          <w:p w:rsidR="00390728" w:rsidRPr="00A8053F" w:rsidRDefault="00431B10" w:rsidP="008E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111</w:t>
            </w:r>
          </w:p>
        </w:tc>
      </w:tr>
      <w:tr w:rsidR="00943A0A" w:rsidRPr="000E3030" w:rsidTr="005715E4">
        <w:tc>
          <w:tcPr>
            <w:tcW w:w="871" w:type="pct"/>
            <w:gridSpan w:val="2"/>
            <w:shd w:val="clear" w:color="auto" w:fill="auto"/>
          </w:tcPr>
          <w:p w:rsidR="00144C52" w:rsidRPr="00A8053F" w:rsidRDefault="00144C52" w:rsidP="00144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Пәннің МАЗМҰНЫ:</w:t>
            </w:r>
          </w:p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9" w:type="pct"/>
            <w:gridSpan w:val="12"/>
            <w:shd w:val="clear" w:color="auto" w:fill="auto"/>
          </w:tcPr>
          <w:p w:rsidR="005D1367" w:rsidRPr="00A8053F" w:rsidRDefault="00465AD7" w:rsidP="00B61139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арнайы курс жердің жасанды серігінің арнаулы қозғалыс теориясы-Эйлер аралық қозғалысы негізінде жасалған теорияны игеруге арналған. Теория негізі, практикалық есептеу формулалары және бақылаудан табылған ерекшеліктерді зерттеу тәсілдері қарастырылады.</w:t>
            </w:r>
          </w:p>
        </w:tc>
      </w:tr>
      <w:tr w:rsidR="00943A0A" w:rsidRPr="00A8053F" w:rsidTr="005715E4">
        <w:tc>
          <w:tcPr>
            <w:tcW w:w="871" w:type="pct"/>
            <w:gridSpan w:val="2"/>
            <w:shd w:val="clear" w:color="auto" w:fill="auto"/>
          </w:tcPr>
          <w:p w:rsidR="00390728" w:rsidRPr="00A8053F" w:rsidRDefault="00144C52" w:rsidP="008239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390728" w:rsidRPr="00A8053F" w:rsidRDefault="00390728" w:rsidP="008E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9" w:type="pct"/>
            <w:gridSpan w:val="12"/>
            <w:shd w:val="clear" w:color="auto" w:fill="auto"/>
          </w:tcPr>
          <w:p w:rsidR="00465AD7" w:rsidRPr="00A8053F" w:rsidRDefault="00465AD7" w:rsidP="00465AD7">
            <w:pPr>
              <w:pStyle w:val="31"/>
              <w:rPr>
                <w:lang w:val="kk-KZ"/>
              </w:rPr>
            </w:pPr>
            <w:r w:rsidRPr="00A8053F">
              <w:rPr>
                <w:lang w:val="kk-KZ"/>
              </w:rPr>
              <w:t xml:space="preserve">Курстың бұл бағдарламасы сабақтарды дәріс түрінде өткізу тәртібін ұсынады. Материалдың практикалық бекітілуі кестеге және бағдарламаға сай практикалық сабақтардың көлемінде іске асырылады. </w:t>
            </w:r>
          </w:p>
          <w:p w:rsidR="005D1367" w:rsidRPr="00A8053F" w:rsidRDefault="00465AD7" w:rsidP="00465AD7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Өзіндік жұмысқа тапсырманы курстың лекторы береді, белгіленген мерзімде өзіндік жұмыстарды қабылдау да курстың лекторымен іске асады. Аралық тапсырмаларды практика сабақтардың оқытушысы қабылдайды.</w:t>
            </w:r>
          </w:p>
        </w:tc>
      </w:tr>
      <w:tr w:rsidR="00943A0A" w:rsidRPr="00A8053F" w:rsidTr="005715E4">
        <w:tc>
          <w:tcPr>
            <w:tcW w:w="871" w:type="pct"/>
            <w:gridSpan w:val="2"/>
          </w:tcPr>
          <w:p w:rsidR="00390728" w:rsidRPr="00A8053F" w:rsidRDefault="00144C52" w:rsidP="008E6434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4129" w:type="pct"/>
            <w:gridSpan w:val="12"/>
            <w:shd w:val="clear" w:color="auto" w:fill="auto"/>
          </w:tcPr>
          <w:p w:rsidR="00B61139" w:rsidRPr="00A8053F" w:rsidRDefault="00465AD7" w:rsidP="00465A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Осы арнайы курсты оқу нәтижесінде студент жердің  жасанды серігінің ұшу теориясын Эйлер аралық қозғалысы негізінде үйренеді.  Жасанды аспан денелерінің қозғалысының сипаттамаларын терең талдауды игереді. </w:t>
            </w:r>
          </w:p>
        </w:tc>
      </w:tr>
      <w:tr w:rsidR="00943A0A" w:rsidRPr="00A8053F" w:rsidTr="005715E4">
        <w:tc>
          <w:tcPr>
            <w:tcW w:w="871" w:type="pct"/>
            <w:gridSpan w:val="2"/>
          </w:tcPr>
          <w:p w:rsidR="00414A51" w:rsidRPr="00A8053F" w:rsidRDefault="00414A51" w:rsidP="008E643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Әдебиеттер тізімі </w:t>
            </w:r>
          </w:p>
        </w:tc>
        <w:tc>
          <w:tcPr>
            <w:tcW w:w="4129" w:type="pct"/>
            <w:gridSpan w:val="12"/>
            <w:shd w:val="clear" w:color="auto" w:fill="auto"/>
          </w:tcPr>
          <w:p w:rsidR="00465AD7" w:rsidRPr="00A8053F" w:rsidRDefault="00465AD7" w:rsidP="00465A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Негізгі</w:t>
            </w:r>
            <w:r w:rsidRPr="00A8053F">
              <w:rPr>
                <w:rFonts w:ascii="Times New Roman" w:hAnsi="Times New Roman" w:cs="Times New Roman"/>
                <w:b/>
              </w:rPr>
              <w:t>: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Е.П. Аксенов – Теория движения искусственных спутников Земли. М.: Наука, 1977.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В.К. Абалакин и др. – Справочное руководство по небесной механике и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астродинамике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. М.: Наука, 1976. 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Бордовицына Т.В, Авдюшев В.А. Деория движения исскуственных спутников земли. Учеб.пособ.-Томск: Изд.Томск. ун-та. 2007.-178с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tabs>
                <w:tab w:val="clear" w:pos="360"/>
              </w:tabs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Савинов Ю.Г. Анализ и оптимизизация траектории движения космических летательных аппаратов. Алматы:Эверо, 2007.-160с.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М.Ф. Субботин – Введение в теоретическую астрономию. М.: Наука, 1968. 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Г.Н.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Дубошин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– Небесная механика. Основные задачи и методы. М.: Наука, 1975. 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В.А. Антонов, Е.И. Тимошкова, К.В. Холшевников – Введение в теорию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ньютоновского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потенциала. М.: Наука, 1988. 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М.Б.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Балк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и др. – Сборник задач по небесной механике и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космодинамике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. М.: Наука, 1972. </w:t>
            </w:r>
          </w:p>
          <w:p w:rsidR="00465AD7" w:rsidRPr="00A8053F" w:rsidRDefault="00465AD7" w:rsidP="00465AD7">
            <w:pPr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Е.Н.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Поляхова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– Сборник задач по динамике точки в поле центральных сил. Л.: Изд-во ЛГУ, 1974.</w:t>
            </w:r>
          </w:p>
          <w:p w:rsidR="00465AD7" w:rsidRPr="00A8053F" w:rsidRDefault="00465AD7" w:rsidP="00465AD7">
            <w:pPr>
              <w:pStyle w:val="footn"/>
              <w:spacing w:before="0" w:beforeAutospacing="0" w:after="0" w:afterAutospacing="0" w:line="240" w:lineRule="auto"/>
              <w:ind w:left="780"/>
              <w:rPr>
                <w:lang w:val="kk-KZ"/>
              </w:rPr>
            </w:pPr>
          </w:p>
          <w:p w:rsidR="00465AD7" w:rsidRPr="00A8053F" w:rsidRDefault="00465AD7" w:rsidP="00465AD7">
            <w:pPr>
              <w:ind w:left="3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  <w:r w:rsidRPr="00A8053F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465AD7" w:rsidRPr="00A8053F" w:rsidRDefault="00465AD7" w:rsidP="00465AD7">
            <w:pPr>
              <w:numPr>
                <w:ilvl w:val="0"/>
                <w:numId w:val="23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Г.А. Чеботарев – Численные и аналитические методы небесной механики. М.-Л.: Наука, 1965. </w:t>
            </w:r>
          </w:p>
          <w:p w:rsidR="00465AD7" w:rsidRPr="00A8053F" w:rsidRDefault="00465AD7" w:rsidP="00465AD7">
            <w:pPr>
              <w:numPr>
                <w:ilvl w:val="0"/>
                <w:numId w:val="23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К.В. Холшевников – Асимптотические методы небесной механики. Л.: Изд-во ЛГУ, 1985. </w:t>
            </w:r>
          </w:p>
          <w:p w:rsidR="00465AD7" w:rsidRPr="00A8053F" w:rsidRDefault="00465AD7" w:rsidP="00465AD7">
            <w:pPr>
              <w:numPr>
                <w:ilvl w:val="0"/>
                <w:numId w:val="23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Гребеников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, Ю.А. Рябов – Новые качественные методы в небесной </w:t>
            </w:r>
            <w:r w:rsidRPr="00A8053F">
              <w:rPr>
                <w:rFonts w:ascii="Times New Roman" w:hAnsi="Times New Roman" w:cs="Times New Roman"/>
              </w:rPr>
              <w:lastRenderedPageBreak/>
              <w:t xml:space="preserve">механике. М.: Наука, 1971. </w:t>
            </w:r>
          </w:p>
          <w:p w:rsidR="00390728" w:rsidRPr="00A8053F" w:rsidRDefault="00390728" w:rsidP="00465AD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3A0A" w:rsidRPr="000E3030" w:rsidTr="005715E4">
        <w:tc>
          <w:tcPr>
            <w:tcW w:w="871" w:type="pct"/>
            <w:gridSpan w:val="2"/>
          </w:tcPr>
          <w:p w:rsidR="00390728" w:rsidRPr="00A8053F" w:rsidRDefault="00CF6CD4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 xml:space="preserve">Ұйымдарсыру курсы </w:t>
            </w:r>
          </w:p>
          <w:p w:rsidR="00390728" w:rsidRPr="00A8053F" w:rsidRDefault="00390728" w:rsidP="008E6434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29" w:type="pct"/>
            <w:gridSpan w:val="12"/>
            <w:shd w:val="clear" w:color="auto" w:fill="auto"/>
          </w:tcPr>
          <w:p w:rsidR="00891483" w:rsidRPr="00A8053F" w:rsidRDefault="00466EC2" w:rsidP="00B6113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Бұл </w:t>
            </w:r>
            <w:r w:rsidR="00181B1C" w:rsidRPr="00A8053F">
              <w:rPr>
                <w:rFonts w:ascii="Times New Roman" w:hAnsi="Times New Roman" w:cs="Times New Roman"/>
                <w:lang w:val="kk-KZ"/>
              </w:rPr>
              <w:t>элективті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курс, мұнда теориялық материалдармен улкен көлемде танысу,  </w:t>
            </w:r>
            <w:proofErr w:type="spellStart"/>
            <w:r w:rsidRPr="00A8053F">
              <w:rPr>
                <w:rFonts w:ascii="Times New Roman" w:hAnsi="Times New Roman" w:cs="Times New Roman"/>
              </w:rPr>
              <w:t>сондықтан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дайындық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барысында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53F">
              <w:rPr>
                <w:rFonts w:ascii="Times New Roman" w:hAnsi="Times New Roman" w:cs="Times New Roman"/>
              </w:rPr>
              <w:t>пән</w:t>
            </w:r>
            <w:proofErr w:type="spellEnd"/>
            <w:r w:rsidR="00891483" w:rsidRPr="00A8053F">
              <w:rPr>
                <w:rFonts w:ascii="Times New Roman" w:hAnsi="Times New Roman" w:cs="Times New Roman"/>
                <w:lang w:val="kk-KZ"/>
              </w:rPr>
              <w:t>ге</w:t>
            </w:r>
            <w:r w:rsidR="00891483"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483" w:rsidRPr="00A8053F">
              <w:rPr>
                <w:rFonts w:ascii="Times New Roman" w:hAnsi="Times New Roman" w:cs="Times New Roman"/>
              </w:rPr>
              <w:t>елеулі</w:t>
            </w:r>
            <w:proofErr w:type="spellEnd"/>
            <w:r w:rsidR="00891483"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483" w:rsidRPr="00A8053F">
              <w:rPr>
                <w:rFonts w:ascii="Times New Roman" w:hAnsi="Times New Roman" w:cs="Times New Roman"/>
              </w:rPr>
              <w:t>рөл</w:t>
            </w:r>
            <w:proofErr w:type="spellEnd"/>
            <w:r w:rsidR="00891483" w:rsidRPr="00A80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483" w:rsidRPr="00A8053F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="00891483" w:rsidRPr="00A8053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Семинарлық тапсырмалар (жаттығулар) және төрт </w:t>
            </w:r>
            <w:r w:rsidR="00B61139" w:rsidRPr="00A8053F">
              <w:rPr>
                <w:rFonts w:ascii="Times New Roman" w:hAnsi="Times New Roman" w:cs="Times New Roman"/>
                <w:lang w:val="kk-KZ"/>
              </w:rPr>
              <w:t>М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ӨЖ (силлабус бойынша міндеттері тиісті тақырып) </w:t>
            </w:r>
            <w:r w:rsidR="00306908" w:rsidRPr="00A8053F">
              <w:rPr>
                <w:rFonts w:ascii="Times New Roman" w:hAnsi="Times New Roman" w:cs="Times New Roman"/>
                <w:lang w:val="kk-KZ"/>
              </w:rPr>
              <w:t xml:space="preserve">орындауға </w:t>
            </w:r>
            <w:r w:rsidRPr="00A8053F">
              <w:rPr>
                <w:rFonts w:ascii="Times New Roman" w:hAnsi="Times New Roman" w:cs="Times New Roman"/>
                <w:lang w:val="kk-KZ"/>
              </w:rPr>
              <w:t>үлкен мүмкіндік береді</w:t>
            </w:r>
            <w:r w:rsidR="00306908" w:rsidRPr="00A8053F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43A0A" w:rsidRPr="000E3030" w:rsidTr="005715E4">
        <w:tc>
          <w:tcPr>
            <w:tcW w:w="871" w:type="pct"/>
            <w:gridSpan w:val="2"/>
          </w:tcPr>
          <w:p w:rsidR="00390728" w:rsidRPr="00A8053F" w:rsidRDefault="00CF6CD4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053F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Курстың талаптары </w:t>
            </w:r>
            <w:r w:rsidR="00390728" w:rsidRPr="00A8053F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29" w:type="pct"/>
            <w:gridSpan w:val="12"/>
            <w:shd w:val="clear" w:color="auto" w:fill="auto"/>
          </w:tcPr>
          <w:p w:rsidR="00823987" w:rsidRPr="00A8053F" w:rsidRDefault="00F026E5" w:rsidP="009D7029">
            <w:pPr>
              <w:pStyle w:val="a6"/>
              <w:numPr>
                <w:ilvl w:val="0"/>
                <w:numId w:val="4"/>
              </w:numPr>
              <w:tabs>
                <w:tab w:val="left" w:pos="34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Төменде кесте бойынша  берілген дәріс тапсырмаларын алдын ала дайындау.</w:t>
            </w:r>
            <w:r w:rsidR="00390728" w:rsidRPr="00A8053F">
              <w:rPr>
                <w:rFonts w:ascii="Times New Roman" w:hAnsi="Times New Roman" w:cs="Times New Roman"/>
              </w:rPr>
              <w:t xml:space="preserve"> 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Кесте бойынша пәнді семестр аралығында бөлінген жаттығулар мен </w:t>
            </w:r>
            <w:r w:rsidR="00465AD7" w:rsidRPr="00A8053F">
              <w:rPr>
                <w:rFonts w:ascii="Times New Roman" w:hAnsi="Times New Roman" w:cs="Times New Roman"/>
                <w:lang w:val="en-US"/>
              </w:rPr>
              <w:t>C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ӨЖ тапсырмаларын орындау  </w:t>
            </w:r>
          </w:p>
          <w:p w:rsidR="00390728" w:rsidRPr="00A8053F" w:rsidRDefault="00F71910" w:rsidP="00F71910">
            <w:pPr>
              <w:pStyle w:val="a6"/>
              <w:numPr>
                <w:ilvl w:val="0"/>
                <w:numId w:val="4"/>
              </w:numPr>
              <w:tabs>
                <w:tab w:val="left" w:pos="349"/>
              </w:tabs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Жаттығулар мен </w:t>
            </w:r>
            <w:r w:rsidR="00465AD7" w:rsidRPr="00A8053F">
              <w:rPr>
                <w:rFonts w:ascii="Times New Roman" w:hAnsi="Times New Roman" w:cs="Times New Roman"/>
                <w:lang w:val="kk-KZ"/>
              </w:rPr>
              <w:t>C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ӨЖ тапсырмаларын </w:t>
            </w:r>
            <w:r w:rsidR="00F026E5" w:rsidRPr="00A8053F">
              <w:rPr>
                <w:rFonts w:ascii="Times New Roman" w:hAnsi="Times New Roman" w:cs="Times New Roman"/>
                <w:lang w:val="kk-KZ"/>
              </w:rPr>
              <w:t>Силлабустың тақ</w:t>
            </w:r>
            <w:r w:rsidRPr="00A8053F">
              <w:rPr>
                <w:rFonts w:ascii="Times New Roman" w:hAnsi="Times New Roman" w:cs="Times New Roman"/>
                <w:lang w:val="kk-KZ"/>
              </w:rPr>
              <w:t>ырыптарына сәйкес орындау.</w:t>
            </w:r>
            <w:r w:rsidR="00B61139"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053F">
              <w:rPr>
                <w:rFonts w:ascii="Times New Roman" w:hAnsi="Times New Roman" w:cs="Times New Roman"/>
                <w:lang w:val="kk-KZ"/>
              </w:rPr>
              <w:t>Жаттығуларды орындау барысында келесі ережелерді сақтау</w:t>
            </w:r>
            <w:r w:rsidR="00390728" w:rsidRPr="00A8053F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BC2ADC" w:rsidRPr="00A8053F" w:rsidRDefault="00F71910" w:rsidP="00BC2ADC">
            <w:pPr>
              <w:pStyle w:val="a6"/>
              <w:numPr>
                <w:ilvl w:val="0"/>
                <w:numId w:val="3"/>
              </w:numPr>
              <w:tabs>
                <w:tab w:val="left" w:pos="349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A8053F">
              <w:rPr>
                <w:rStyle w:val="shorttext"/>
                <w:rFonts w:ascii="Times New Roman" w:hAnsi="Times New Roman" w:cs="Times New Roman"/>
                <w:lang w:val="kk-KZ"/>
              </w:rPr>
              <w:t xml:space="preserve">Жаттығулар мен </w:t>
            </w:r>
            <w:r w:rsidR="00465AD7" w:rsidRPr="00A8053F">
              <w:rPr>
                <w:rStyle w:val="shorttext"/>
                <w:rFonts w:ascii="Times New Roman" w:hAnsi="Times New Roman" w:cs="Times New Roman"/>
                <w:lang w:val="kk-KZ"/>
              </w:rPr>
              <w:t>C</w:t>
            </w:r>
            <w:r w:rsidRPr="00A8053F">
              <w:rPr>
                <w:rStyle w:val="shorttext"/>
                <w:rFonts w:ascii="Times New Roman" w:hAnsi="Times New Roman" w:cs="Times New Roman"/>
                <w:lang w:val="kk-KZ"/>
              </w:rPr>
              <w:t xml:space="preserve">ӨЖ тапсырмаларын берілген уақытта орындау. </w:t>
            </w:r>
            <w:r w:rsidR="00BC2ADC" w:rsidRPr="00A8053F">
              <w:rPr>
                <w:rStyle w:val="shorttext"/>
                <w:rFonts w:ascii="Times New Roman" w:hAnsi="Times New Roman" w:cs="Times New Roman"/>
                <w:lang w:val="kk-KZ"/>
              </w:rPr>
              <w:t xml:space="preserve">Уақытынан кеш орындалған тапсырмалар қабылданбайды. </w:t>
            </w:r>
          </w:p>
          <w:p w:rsidR="00390728" w:rsidRPr="00A8053F" w:rsidRDefault="00465AD7" w:rsidP="00BC2ADC">
            <w:pPr>
              <w:pStyle w:val="a6"/>
              <w:numPr>
                <w:ilvl w:val="0"/>
                <w:numId w:val="3"/>
              </w:numPr>
              <w:tabs>
                <w:tab w:val="left" w:pos="349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A8053F">
              <w:rPr>
                <w:rStyle w:val="shorttext"/>
                <w:rFonts w:ascii="Times New Roman" w:hAnsi="Times New Roman" w:cs="Times New Roman"/>
                <w:lang w:val="kk-KZ"/>
              </w:rPr>
              <w:t>Студенттер</w:t>
            </w:r>
            <w:r w:rsidR="00BC2ADC" w:rsidRPr="00A8053F">
              <w:rPr>
                <w:rStyle w:val="shorttext"/>
                <w:rFonts w:ascii="Times New Roman" w:hAnsi="Times New Roman" w:cs="Times New Roman"/>
                <w:lang w:val="kk-KZ"/>
              </w:rPr>
              <w:t xml:space="preserve"> берілген жаттығулар мен </w:t>
            </w:r>
            <w:r w:rsidRPr="00A8053F">
              <w:rPr>
                <w:rStyle w:val="shorttext"/>
                <w:rFonts w:ascii="Times New Roman" w:hAnsi="Times New Roman" w:cs="Times New Roman"/>
                <w:lang w:val="kk-KZ"/>
              </w:rPr>
              <w:t>С</w:t>
            </w:r>
            <w:r w:rsidR="00BC2ADC" w:rsidRPr="00A8053F">
              <w:rPr>
                <w:rStyle w:val="shorttext"/>
                <w:rFonts w:ascii="Times New Roman" w:hAnsi="Times New Roman" w:cs="Times New Roman"/>
                <w:lang w:val="kk-KZ"/>
              </w:rPr>
              <w:t xml:space="preserve">ӨЖ тапсырмаларын толық орындауы тиіс. </w:t>
            </w:r>
          </w:p>
          <w:p w:rsidR="00465AD7" w:rsidRPr="00A8053F" w:rsidRDefault="00465AD7" w:rsidP="00465AD7">
            <w:pPr>
              <w:pStyle w:val="31"/>
              <w:rPr>
                <w:lang w:val="kk-KZ"/>
              </w:rPr>
            </w:pPr>
            <w:r w:rsidRPr="00A8053F">
              <w:rPr>
                <w:lang w:val="kk-KZ"/>
              </w:rPr>
              <w:t xml:space="preserve">Сабаққа кешігу немесе сабақ бітпестен кетіп қалу қалпына келмейтін сабақ жіберген болып саналады. </w:t>
            </w:r>
          </w:p>
          <w:p w:rsidR="00465AD7" w:rsidRPr="00A8053F" w:rsidRDefault="00465AD7" w:rsidP="00465AD7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Аудиторияда ұялы телефондар өшірілген болу керек</w:t>
            </w:r>
            <w:r w:rsidRPr="00A8053F">
              <w:rPr>
                <w:rFonts w:ascii="Times New Roman" w:hAnsi="Times New Roman" w:cs="Times New Roman"/>
              </w:rPr>
              <w:t>.</w:t>
            </w:r>
          </w:p>
          <w:p w:rsidR="00465AD7" w:rsidRPr="00A8053F" w:rsidRDefault="00465AD7" w:rsidP="00465AD7">
            <w:pPr>
              <w:pStyle w:val="a6"/>
              <w:numPr>
                <w:ilvl w:val="0"/>
                <w:numId w:val="3"/>
              </w:numPr>
              <w:tabs>
                <w:tab w:val="left" w:pos="349"/>
              </w:tabs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 Бұл ережені орындамау талапты бұзғандық болып есептеледі.</w:t>
            </w:r>
          </w:p>
        </w:tc>
      </w:tr>
      <w:tr w:rsidR="001366AA" w:rsidRPr="00A8053F" w:rsidTr="005715E4">
        <w:trPr>
          <w:trHeight w:val="258"/>
        </w:trPr>
        <w:tc>
          <w:tcPr>
            <w:tcW w:w="871" w:type="pct"/>
            <w:gridSpan w:val="2"/>
            <w:vMerge w:val="restart"/>
          </w:tcPr>
          <w:p w:rsidR="00390728" w:rsidRPr="00A8053F" w:rsidRDefault="00CF6CD4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Бағалау саясаты </w:t>
            </w:r>
          </w:p>
        </w:tc>
        <w:tc>
          <w:tcPr>
            <w:tcW w:w="2444" w:type="pct"/>
            <w:gridSpan w:val="5"/>
          </w:tcPr>
          <w:p w:rsidR="00390728" w:rsidRPr="00A8053F" w:rsidRDefault="00CB56C7" w:rsidP="00CB56C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Өзіндік жұмысы</w:t>
            </w:r>
            <w:r w:rsidR="00F036B6" w:rsidRPr="00A8053F">
              <w:rPr>
                <w:rFonts w:ascii="Times New Roman" w:hAnsi="Times New Roman" w:cs="Times New Roman"/>
                <w:b/>
                <w:lang w:val="kk-KZ"/>
              </w:rPr>
              <w:t>тар түсіндірме</w:t>
            </w:r>
          </w:p>
        </w:tc>
        <w:tc>
          <w:tcPr>
            <w:tcW w:w="740" w:type="pct"/>
            <w:gridSpan w:val="4"/>
          </w:tcPr>
          <w:p w:rsidR="00390728" w:rsidRPr="00A8053F" w:rsidRDefault="00CB56C7" w:rsidP="00F7191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Бағалау </w:t>
            </w:r>
          </w:p>
        </w:tc>
        <w:tc>
          <w:tcPr>
            <w:tcW w:w="945" w:type="pct"/>
            <w:gridSpan w:val="3"/>
          </w:tcPr>
          <w:p w:rsidR="00390728" w:rsidRPr="00A8053F" w:rsidRDefault="00CB56C7" w:rsidP="00CB56C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Нәтижесі </w:t>
            </w:r>
          </w:p>
        </w:tc>
      </w:tr>
      <w:tr w:rsidR="001366AA" w:rsidRPr="00A8053F" w:rsidTr="005715E4">
        <w:trPr>
          <w:trHeight w:val="576"/>
        </w:trPr>
        <w:tc>
          <w:tcPr>
            <w:tcW w:w="871" w:type="pct"/>
            <w:gridSpan w:val="2"/>
            <w:vMerge/>
          </w:tcPr>
          <w:p w:rsidR="00390728" w:rsidRPr="00A8053F" w:rsidRDefault="00390728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2444" w:type="pct"/>
            <w:gridSpan w:val="5"/>
            <w:shd w:val="clear" w:color="auto" w:fill="auto"/>
          </w:tcPr>
          <w:p w:rsidR="00390728" w:rsidRPr="00A8053F" w:rsidRDefault="00CB56C7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Семинарлық тапсырма </w:t>
            </w:r>
          </w:p>
          <w:p w:rsidR="00390728" w:rsidRPr="00A8053F" w:rsidRDefault="00B61139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М</w:t>
            </w:r>
            <w:r w:rsidR="00CB56C7" w:rsidRPr="00A8053F">
              <w:rPr>
                <w:rFonts w:ascii="Times New Roman" w:hAnsi="Times New Roman" w:cs="Times New Roman"/>
                <w:lang w:val="kk-KZ"/>
              </w:rPr>
              <w:t>ӨЖ</w:t>
            </w:r>
          </w:p>
          <w:p w:rsidR="00390728" w:rsidRPr="00A8053F" w:rsidRDefault="00CB56C7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390728" w:rsidRPr="00A8053F" w:rsidRDefault="00CB56C7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740" w:type="pct"/>
            <w:gridSpan w:val="4"/>
            <w:shd w:val="clear" w:color="auto" w:fill="auto"/>
          </w:tcPr>
          <w:p w:rsidR="00390728" w:rsidRPr="00A8053F" w:rsidRDefault="00FA0A63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  <w:lang w:val="en-US"/>
              </w:rPr>
              <w:t>2</w:t>
            </w:r>
            <w:r w:rsidR="007D32FA" w:rsidRPr="00A8053F">
              <w:rPr>
                <w:rFonts w:ascii="Times New Roman" w:hAnsi="Times New Roman" w:cs="Times New Roman"/>
              </w:rPr>
              <w:t>0</w:t>
            </w:r>
            <w:r w:rsidR="00390728" w:rsidRPr="00A8053F">
              <w:rPr>
                <w:rFonts w:ascii="Times New Roman" w:hAnsi="Times New Roman" w:cs="Times New Roman"/>
              </w:rPr>
              <w:t>%</w:t>
            </w:r>
          </w:p>
          <w:p w:rsidR="00390728" w:rsidRPr="00A8053F" w:rsidRDefault="00FA0A63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  <w:lang w:val="en-US"/>
              </w:rPr>
              <w:t>4</w:t>
            </w:r>
            <w:r w:rsidR="007D32FA" w:rsidRPr="00A8053F">
              <w:rPr>
                <w:rFonts w:ascii="Times New Roman" w:hAnsi="Times New Roman" w:cs="Times New Roman"/>
              </w:rPr>
              <w:t>0</w:t>
            </w:r>
            <w:r w:rsidR="00390728" w:rsidRPr="00A8053F">
              <w:rPr>
                <w:rFonts w:ascii="Times New Roman" w:hAnsi="Times New Roman" w:cs="Times New Roman"/>
              </w:rPr>
              <w:t>%</w:t>
            </w:r>
          </w:p>
          <w:p w:rsidR="00390728" w:rsidRPr="00A8053F" w:rsidRDefault="00390728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8053F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90728" w:rsidRPr="00A8053F" w:rsidRDefault="00390728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CB56C7" w:rsidRPr="00A8053F" w:rsidRDefault="00943A0A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</w:rPr>
              <w:t xml:space="preserve">6, </w:t>
            </w:r>
            <w:r w:rsidR="004F2507" w:rsidRPr="00A8053F">
              <w:rPr>
                <w:rFonts w:ascii="Times New Roman" w:hAnsi="Times New Roman" w:cs="Times New Roman"/>
              </w:rPr>
              <w:t>7, 8 балл</w:t>
            </w:r>
          </w:p>
          <w:p w:rsidR="00390728" w:rsidRPr="00A8053F" w:rsidRDefault="00CB56C7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</w:rPr>
              <w:t>25 бал</w:t>
            </w:r>
            <w:r w:rsidRPr="00A8053F">
              <w:rPr>
                <w:rFonts w:ascii="Times New Roman" w:hAnsi="Times New Roman" w:cs="Times New Roman"/>
                <w:lang w:val="kk-KZ"/>
              </w:rPr>
              <w:t>л</w:t>
            </w:r>
          </w:p>
          <w:p w:rsidR="00390728" w:rsidRPr="00A8053F" w:rsidRDefault="004F2507" w:rsidP="00CB56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100 балл</w:t>
            </w:r>
          </w:p>
        </w:tc>
      </w:tr>
      <w:tr w:rsidR="00943A0A" w:rsidRPr="00A8053F" w:rsidTr="005715E4">
        <w:tc>
          <w:tcPr>
            <w:tcW w:w="871" w:type="pct"/>
            <w:gridSpan w:val="2"/>
            <w:vMerge/>
          </w:tcPr>
          <w:p w:rsidR="00390728" w:rsidRPr="00A8053F" w:rsidRDefault="00390728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29" w:type="pct"/>
            <w:gridSpan w:val="12"/>
            <w:shd w:val="clear" w:color="auto" w:fill="auto"/>
          </w:tcPr>
          <w:p w:rsidR="00CB56C7" w:rsidRPr="00A8053F" w:rsidRDefault="00CB56C7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Сіздің қорытынды бағанызды формула бойынша есептеу</w:t>
            </w:r>
          </w:p>
          <w:p w:rsidR="00390728" w:rsidRPr="00A8053F" w:rsidRDefault="00F036B6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color w:val="00000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lang w:val="kk-KZ"/>
                </w:rPr>
                <m:t>ИК</m:t>
              </m:r>
            </m:oMath>
          </w:p>
          <w:p w:rsidR="00390728" w:rsidRPr="00A8053F" w:rsidRDefault="00F036B6" w:rsidP="00F036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Пайыздық бағалау жүйесі төменде көрсетілген</w:t>
            </w:r>
            <w:r w:rsidR="00390728" w:rsidRPr="00A8053F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390728" w:rsidRPr="00A8053F" w:rsidRDefault="00390728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95% - 100%: А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>90% - 94%: А-</w:t>
            </w:r>
          </w:p>
          <w:p w:rsidR="00390728" w:rsidRPr="00A8053F" w:rsidRDefault="00390728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85% - 89%: В+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>80% - 84%: В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>75% - 79%: В-</w:t>
            </w:r>
          </w:p>
          <w:p w:rsidR="00390728" w:rsidRPr="00A8053F" w:rsidRDefault="00390728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70% - 74%: С+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>65% - 69%: С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>60% - 64%: С-</w:t>
            </w:r>
          </w:p>
          <w:p w:rsidR="00390728" w:rsidRPr="00A8053F" w:rsidRDefault="00390728" w:rsidP="008E64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55% - 59%: </w:t>
            </w:r>
            <w:r w:rsidRPr="00A8053F">
              <w:rPr>
                <w:rFonts w:ascii="Times New Roman" w:hAnsi="Times New Roman" w:cs="Times New Roman"/>
                <w:lang w:val="en-US"/>
              </w:rPr>
              <w:t>D</w:t>
            </w:r>
            <w:r w:rsidRPr="00A8053F">
              <w:rPr>
                <w:rFonts w:ascii="Times New Roman" w:hAnsi="Times New Roman" w:cs="Times New Roman"/>
              </w:rPr>
              <w:t>+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053F">
              <w:rPr>
                <w:rFonts w:ascii="Times New Roman" w:hAnsi="Times New Roman" w:cs="Times New Roman"/>
                <w:lang w:val="en-US"/>
              </w:rPr>
              <w:t>D</w:t>
            </w:r>
            <w:r w:rsidRPr="00A8053F">
              <w:rPr>
                <w:rFonts w:ascii="Times New Roman" w:hAnsi="Times New Roman" w:cs="Times New Roman"/>
              </w:rPr>
              <w:t>-</w:t>
            </w:r>
            <w:r w:rsidRPr="00A8053F">
              <w:rPr>
                <w:rFonts w:ascii="Times New Roman" w:hAnsi="Times New Roman" w:cs="Times New Roman"/>
              </w:rPr>
              <w:tab/>
            </w:r>
            <w:r w:rsidRPr="00A8053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053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43A0A" w:rsidRPr="00A8053F" w:rsidTr="005715E4">
        <w:tc>
          <w:tcPr>
            <w:tcW w:w="871" w:type="pct"/>
            <w:gridSpan w:val="2"/>
          </w:tcPr>
          <w:p w:rsidR="00390728" w:rsidRPr="00A8053F" w:rsidRDefault="00CF6CD4" w:rsidP="008E643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Пәннің саясаты </w:t>
            </w:r>
          </w:p>
        </w:tc>
        <w:tc>
          <w:tcPr>
            <w:tcW w:w="4129" w:type="pct"/>
            <w:gridSpan w:val="12"/>
            <w:shd w:val="clear" w:color="auto" w:fill="auto"/>
          </w:tcPr>
          <w:p w:rsidR="00390728" w:rsidRPr="00A8053F" w:rsidRDefault="00390728" w:rsidP="005715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EA0A70" w:rsidRPr="00A8053F">
              <w:rPr>
                <w:rFonts w:ascii="Times New Roman" w:hAnsi="Times New Roman" w:cs="Times New Roman"/>
              </w:rPr>
              <w:t>сдачи упражнений</w:t>
            </w:r>
            <w:r w:rsidRPr="00A8053F">
              <w:rPr>
                <w:rFonts w:ascii="Times New Roman" w:hAnsi="Times New Roman" w:cs="Times New Roman"/>
              </w:rPr>
              <w:t xml:space="preserve"> или </w:t>
            </w:r>
            <w:r w:rsidR="00EA0A70" w:rsidRPr="00A8053F">
              <w:rPr>
                <w:rFonts w:ascii="Times New Roman" w:hAnsi="Times New Roman" w:cs="Times New Roman"/>
              </w:rPr>
              <w:t>СР</w:t>
            </w:r>
            <w:r w:rsidR="000A0C2E" w:rsidRPr="00A8053F">
              <w:rPr>
                <w:rFonts w:ascii="Times New Roman" w:hAnsi="Times New Roman" w:cs="Times New Roman"/>
              </w:rPr>
              <w:t>М</w:t>
            </w:r>
            <w:r w:rsidRPr="00A8053F">
              <w:rPr>
                <w:rFonts w:ascii="Times New Roman" w:hAnsi="Times New Roman" w:cs="Times New Roman"/>
              </w:rPr>
              <w:t xml:space="preserve">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EA0A70" w:rsidRPr="00A8053F">
              <w:rPr>
                <w:rFonts w:ascii="Times New Roman" w:hAnsi="Times New Roman" w:cs="Times New Roman"/>
              </w:rPr>
              <w:t>магистранта</w:t>
            </w:r>
            <w:r w:rsidRPr="00A8053F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5715E4" w:rsidRPr="00A8053F">
              <w:rPr>
                <w:rFonts w:ascii="Times New Roman" w:hAnsi="Times New Roman" w:cs="Times New Roman"/>
              </w:rPr>
              <w:t>магистранта</w:t>
            </w:r>
            <w:r w:rsidRPr="00A8053F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390728" w:rsidRPr="00A8053F" w:rsidTr="00943A0A">
        <w:tc>
          <w:tcPr>
            <w:tcW w:w="5000" w:type="pct"/>
            <w:gridSpan w:val="14"/>
          </w:tcPr>
          <w:p w:rsidR="00390728" w:rsidRPr="00A8053F" w:rsidRDefault="00CF6CD4" w:rsidP="00D753A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Пәннің кест</w:t>
            </w:r>
            <w:r w:rsidR="00D753A4" w:rsidRPr="00A8053F">
              <w:rPr>
                <w:rFonts w:ascii="Times New Roman" w:hAnsi="Times New Roman" w:cs="Times New Roman"/>
                <w:lang w:val="kk-KZ"/>
              </w:rPr>
              <w:t>е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сі </w:t>
            </w:r>
          </w:p>
        </w:tc>
      </w:tr>
      <w:tr w:rsidR="001366AA" w:rsidRPr="00A8053F" w:rsidTr="00D854CC">
        <w:tc>
          <w:tcPr>
            <w:tcW w:w="507" w:type="pct"/>
          </w:tcPr>
          <w:p w:rsidR="00390728" w:rsidRPr="00A8053F" w:rsidRDefault="00CF6CD4" w:rsidP="008E643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3253" w:type="pct"/>
            <w:gridSpan w:val="8"/>
          </w:tcPr>
          <w:p w:rsidR="00390728" w:rsidRPr="00A8053F" w:rsidRDefault="00CF6CD4" w:rsidP="008E643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539" w:type="pct"/>
            <w:gridSpan w:val="3"/>
          </w:tcPr>
          <w:p w:rsidR="00390728" w:rsidRPr="00A8053F" w:rsidRDefault="00CF6CD4" w:rsidP="008E643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701" w:type="pct"/>
            <w:gridSpan w:val="2"/>
          </w:tcPr>
          <w:p w:rsidR="00390728" w:rsidRPr="00A8053F" w:rsidRDefault="00CF6CD4" w:rsidP="008E643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Максималды балл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D33070" w:rsidRPr="00A8053F" w:rsidRDefault="00D33070" w:rsidP="00D330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Жердің гравитациялық өрісі . Қозғалыс теңдеуі</w:t>
            </w:r>
          </w:p>
          <w:p w:rsidR="00065A26" w:rsidRPr="00A8053F" w:rsidRDefault="00D33070" w:rsidP="00BA21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Аумақтық, тессералдық, секторалдық гармоникалар.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Аумақтық, тессералдық , секторалдық гармоникалар.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bCs/>
                <w:iCs/>
                <w:lang w:val="kk-KZ"/>
              </w:rPr>
              <w:t>Жерің жасанды серігінің дифференциалдық қозғалыс теңдеуі.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BA2168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2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BA2168" w:rsidP="00C0645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Ұйытқушы потенциал</w:t>
            </w:r>
            <w:r w:rsidRPr="00A8053F">
              <w:rPr>
                <w:rFonts w:ascii="Times New Roman" w:hAnsi="Times New Roman" w:cs="Times New Roman"/>
                <w:bCs/>
                <w:iCs/>
                <w:lang w:val="kk-KZ"/>
              </w:rPr>
              <w:t>. Бірінші интегралдар,  аралық қозғалыс теңдеуі.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2.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Аумақтық, тессералдық , секторалдық гармоникалар.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BA2168" w:rsidRPr="00A8053F" w:rsidRDefault="00BA216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Бастапқы мәндері бойынша орбита элементтерін анықтау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3.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C0645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Аралық  қозғалыстың теңдеулері. Якобидің эллиптикалық </w:t>
            </w:r>
            <w:r w:rsidRPr="00A805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функциясы.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3.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Кеңістікте орбита элементтерін көрсету.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ӨЖ3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065A26" w:rsidRPr="00A8053F" w:rsidRDefault="000D4D36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bCs/>
                <w:iCs/>
                <w:lang w:val="kk-KZ"/>
              </w:rPr>
              <w:t>Жерің жасанды серігінің дифференциалдық қозғалыс теңдеуі.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25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4.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Эйлерлік және кеплерлік қозғалыс. Орбита элементтері. 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4.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Кеңістікте орбита элементтерін көрсету.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65A26" w:rsidRPr="00A8053F" w:rsidRDefault="000D4D36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Бастапқы мәндері бойынша орбита элементтерін анықтау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5.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</w:p>
          <w:p w:rsidR="00065A26" w:rsidRPr="00A8053F" w:rsidRDefault="00BA216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Эйлер элементтеріндегі орбитаның дифференциалдық теңдеуі.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5.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Лездік элементтердің әртүрлі жүйелері.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Лездік  элементтеріндегі Лагранждың дифференциалдық қозғалыс теңдеуі, Ньютонның дифференциалдық  теңдеуі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6.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Серік қозғалысының орнықтылық мәселесі.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6.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Лездік элементтердің әртүрлі жүйелері.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65A26" w:rsidRPr="00A8053F" w:rsidRDefault="00BA2168" w:rsidP="004340A6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Лездік  элементтеріндегі Лагранждың дифференциалдық қозғалыс теңдеуі, Ньютонның дифференциалдық  теңдеуі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25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7.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Аумақтық гармоникадан ұйтқу.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7.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Қысқапериодты теңсіздіктер.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8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Маңызды ұзақпериодты теңсіздіктер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A51" w:rsidRPr="00A8053F" w:rsidTr="00D854CC">
        <w:tc>
          <w:tcPr>
            <w:tcW w:w="507" w:type="pct"/>
          </w:tcPr>
          <w:p w:rsidR="00414A51" w:rsidRPr="00A8053F" w:rsidRDefault="00414A51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253" w:type="pct"/>
            <w:gridSpan w:val="8"/>
          </w:tcPr>
          <w:p w:rsidR="00414A51" w:rsidRPr="00A8053F" w:rsidRDefault="00CF6CD4" w:rsidP="00CF6C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  <w:r w:rsidR="00414A51" w:rsidRPr="00A8053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39" w:type="pct"/>
            <w:gridSpan w:val="3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gridSpan w:val="2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14A51" w:rsidRPr="00A8053F" w:rsidTr="00D854CC">
        <w:tc>
          <w:tcPr>
            <w:tcW w:w="507" w:type="pct"/>
          </w:tcPr>
          <w:p w:rsidR="00414A51" w:rsidRPr="00A8053F" w:rsidRDefault="00414A51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414A51" w:rsidRPr="00A8053F" w:rsidRDefault="00414A51" w:rsidP="00295C7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 Exam</w:t>
            </w:r>
          </w:p>
        </w:tc>
        <w:tc>
          <w:tcPr>
            <w:tcW w:w="539" w:type="pct"/>
            <w:gridSpan w:val="3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Ғасырлық ұйытқу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8.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BA216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Қысқапериодты теңсіздіктер.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8.</w:t>
            </w:r>
          </w:p>
          <w:p w:rsidR="00065A26" w:rsidRPr="00A8053F" w:rsidRDefault="00BA2168" w:rsidP="00B6113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Маңызды ұзақпериодты теңсіздіктер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9.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0D4D3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Тессералдық , секторалдық гармоникалардан ұйтқу.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9.</w:t>
            </w:r>
            <w:r w:rsidRPr="00A8053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65A26" w:rsidRPr="00A8053F" w:rsidRDefault="000D4D3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Табиғи және жасанды аспан денелері қозғалысындағы  резонанс.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</w:t>
            </w:r>
          </w:p>
          <w:p w:rsidR="00065A26" w:rsidRPr="00A8053F" w:rsidRDefault="000D4D36" w:rsidP="000D4D3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Ұйтқу құрылымы.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Pr="00BD42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10.</w:t>
            </w:r>
          </w:p>
          <w:p w:rsidR="00065A26" w:rsidRPr="00A8053F" w:rsidRDefault="000D4D36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Тессералдық , секторалдық гармоникалардан ұйтқу.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10.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0D4D3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Табиғи және жасанды аспан денелері қозғалысындағы  резонанс.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10.</w:t>
            </w:r>
          </w:p>
          <w:p w:rsidR="00065A26" w:rsidRPr="00A8053F" w:rsidRDefault="000D4D36" w:rsidP="00B6113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Резонанстық теңсіздік.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11.</w:t>
            </w:r>
          </w:p>
          <w:p w:rsidR="00065A26" w:rsidRPr="00A8053F" w:rsidRDefault="000D4D36" w:rsidP="00C0645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Ай-Күннен  ұйытқу. 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B61139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11.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C06458" w:rsidP="00B6113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Іс-жүзіндегі лездік элементтер.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33145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65A26" w:rsidRPr="00A8053F" w:rsidRDefault="00C06458" w:rsidP="0033145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Ай мен күннің эфемеридтік элементтері.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25</w:t>
            </w:r>
          </w:p>
        </w:tc>
      </w:tr>
      <w:tr w:rsidR="00414A51" w:rsidRPr="00A8053F" w:rsidTr="00D854CC">
        <w:tc>
          <w:tcPr>
            <w:tcW w:w="507" w:type="pct"/>
          </w:tcPr>
          <w:p w:rsidR="00414A51" w:rsidRPr="00A8053F" w:rsidRDefault="00414A51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3253" w:type="pct"/>
            <w:gridSpan w:val="8"/>
          </w:tcPr>
          <w:p w:rsidR="00454F78" w:rsidRPr="00A8053F" w:rsidRDefault="00ED2B14" w:rsidP="00D753A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12</w:t>
            </w:r>
            <w:r w:rsidR="00414A51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D753A4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956ABC" w:rsidRPr="00A8053F" w:rsidRDefault="00C06458" w:rsidP="00D753A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Бірінші,екінші,үшінші және төртінші класстағы ұзақпериодты ұйытқу</w:t>
            </w:r>
          </w:p>
        </w:tc>
        <w:tc>
          <w:tcPr>
            <w:tcW w:w="539" w:type="pct"/>
            <w:gridSpan w:val="3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12.</w:t>
            </w: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65A26" w:rsidRPr="00A8053F" w:rsidRDefault="00C06458" w:rsidP="00BA216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Іс-жүзіндегі лездік элементтер.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12.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Ай мен күннің эфемеридтік элементтері.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13.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Атмосфераның кедергісінен және жарық қысымынан болатын ұйытқу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13.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Лездік элементтер теңдеуін сандық тәсілдермен шешу.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6</w:t>
            </w:r>
          </w:p>
        </w:tc>
      </w:tr>
      <w:tr w:rsidR="00065A26" w:rsidRPr="000E3030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13.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Ұйтқыған бұрыштық элементтердің теңдеуін шығару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14.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Атмосфераның кедергісінен және жарық қысымынан болатын ұйытқу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14.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snapToGrid w:val="0"/>
                <w:lang w:val="kk-KZ"/>
              </w:rPr>
              <w:t>Лездік элементтер теңдеуін сандық тәсілдермен шешу.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55476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  <w:p w:rsidR="00065A26" w:rsidRPr="00A8053F" w:rsidRDefault="00C06458" w:rsidP="0055476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Ұйтқыған бұрыштық элементтердің теңдеуін шығару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25</w:t>
            </w:r>
          </w:p>
        </w:tc>
      </w:tr>
      <w:tr w:rsidR="00065A26" w:rsidRPr="00A8053F" w:rsidTr="00D854CC">
        <w:tc>
          <w:tcPr>
            <w:tcW w:w="507" w:type="pct"/>
            <w:vMerge w:val="restart"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253" w:type="pct"/>
            <w:gridSpan w:val="8"/>
          </w:tcPr>
          <w:p w:rsidR="00065A26" w:rsidRPr="00A8053F" w:rsidRDefault="00065A26" w:rsidP="00454F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15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:rsidR="00065A26" w:rsidRPr="00A8053F" w:rsidRDefault="00C06458" w:rsidP="00454F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Өзге ұйтқулар. Серіктің ұйтқыған координатасын есептеу.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0</w:t>
            </w:r>
          </w:p>
        </w:tc>
      </w:tr>
      <w:tr w:rsidR="00065A26" w:rsidRPr="00A8053F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065A26" w:rsidP="00D753A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15.</w:t>
            </w: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65A26" w:rsidRPr="00A8053F" w:rsidRDefault="00C06458" w:rsidP="00D753A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Бұрыш -әсер канондық лездік элементтер.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</w:rPr>
            </w:pPr>
            <w:r w:rsidRPr="00A8053F">
              <w:rPr>
                <w:rFonts w:ascii="Times New Roman" w:hAnsi="Times New Roman" w:cs="Times New Roman"/>
              </w:rPr>
              <w:t>7</w:t>
            </w:r>
          </w:p>
        </w:tc>
      </w:tr>
      <w:tr w:rsidR="00065A26" w:rsidRPr="000E3030" w:rsidTr="00D854CC">
        <w:tc>
          <w:tcPr>
            <w:tcW w:w="507" w:type="pct"/>
            <w:vMerge/>
          </w:tcPr>
          <w:p w:rsidR="00065A26" w:rsidRPr="00A8053F" w:rsidRDefault="00065A26" w:rsidP="00375875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3253" w:type="pct"/>
            <w:gridSpan w:val="8"/>
          </w:tcPr>
          <w:p w:rsidR="00065A26" w:rsidRPr="00A8053F" w:rsidRDefault="00C06458" w:rsidP="004340A6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="00065A26" w:rsidRPr="00A805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15.</w:t>
            </w:r>
          </w:p>
          <w:p w:rsidR="00065A26" w:rsidRPr="00A8053F" w:rsidRDefault="00065A26" w:rsidP="00C06458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6458" w:rsidRPr="00A8053F">
              <w:rPr>
                <w:rFonts w:ascii="Times New Roman" w:hAnsi="Times New Roman" w:cs="Times New Roman"/>
                <w:lang w:val="kk-KZ"/>
              </w:rPr>
              <w:t>Жердің экваторлық жазықтығындағы прецессиядан және нутациядан болатын  ұйытқулар</w:t>
            </w:r>
          </w:p>
        </w:tc>
        <w:tc>
          <w:tcPr>
            <w:tcW w:w="539" w:type="pct"/>
            <w:gridSpan w:val="3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gridSpan w:val="2"/>
          </w:tcPr>
          <w:p w:rsidR="00065A26" w:rsidRPr="00A8053F" w:rsidRDefault="00065A26" w:rsidP="00295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4A51" w:rsidRPr="00A8053F" w:rsidTr="00D854CC">
        <w:tc>
          <w:tcPr>
            <w:tcW w:w="507" w:type="pct"/>
          </w:tcPr>
          <w:p w:rsidR="00414A51" w:rsidRPr="00A8053F" w:rsidRDefault="00414A51" w:rsidP="00295C7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3253" w:type="pct"/>
            <w:gridSpan w:val="8"/>
          </w:tcPr>
          <w:p w:rsidR="00414A51" w:rsidRPr="00A8053F" w:rsidRDefault="00CF6CD4" w:rsidP="00CF6C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53F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  <w:r w:rsidR="00414A51" w:rsidRPr="00A8053F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39" w:type="pct"/>
            <w:gridSpan w:val="3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gridSpan w:val="2"/>
          </w:tcPr>
          <w:p w:rsidR="00414A51" w:rsidRPr="00A8053F" w:rsidRDefault="00414A51" w:rsidP="00295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53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390728" w:rsidRPr="00A8053F" w:rsidRDefault="00390728" w:rsidP="00AE2B3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CF6CD4" w:rsidRPr="00A8053F" w:rsidRDefault="00CF6CD4" w:rsidP="00AE2B3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551"/>
      </w:tblGrid>
      <w:tr w:rsidR="00CF6CD4" w:rsidRPr="00A8053F" w:rsidTr="00CF6CD4">
        <w:tc>
          <w:tcPr>
            <w:tcW w:w="6237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Факультет деканы </w:t>
            </w:r>
          </w:p>
        </w:tc>
        <w:tc>
          <w:tcPr>
            <w:tcW w:w="2551" w:type="dxa"/>
          </w:tcPr>
          <w:p w:rsidR="00CF6CD4" w:rsidRPr="000E3030" w:rsidRDefault="000E3030" w:rsidP="00CF6C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Жакебаев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Д.Б.</w:t>
            </w:r>
            <w:bookmarkStart w:id="0" w:name="_GoBack"/>
            <w:bookmarkEnd w:id="0"/>
          </w:p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6CD4" w:rsidRPr="00A8053F" w:rsidTr="00CF6CD4">
        <w:tc>
          <w:tcPr>
            <w:tcW w:w="6237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</w:rPr>
              <w:t>Әдістемелік бюро төрайымы</w:t>
            </w:r>
          </w:p>
        </w:tc>
        <w:tc>
          <w:tcPr>
            <w:tcW w:w="2551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8053F">
              <w:rPr>
                <w:rFonts w:ascii="Times New Roman" w:hAnsi="Times New Roman" w:cs="Times New Roman"/>
              </w:rPr>
              <w:t>Гусманова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Ф.Р.</w:t>
            </w:r>
          </w:p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6CD4" w:rsidRPr="00A8053F" w:rsidTr="00CF6CD4">
        <w:tc>
          <w:tcPr>
            <w:tcW w:w="6237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 xml:space="preserve">Кафедра меңгерушісі </w:t>
            </w:r>
          </w:p>
        </w:tc>
        <w:tc>
          <w:tcPr>
            <w:tcW w:w="2551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8053F">
              <w:rPr>
                <w:rFonts w:ascii="Times New Roman" w:hAnsi="Times New Roman" w:cs="Times New Roman"/>
              </w:rPr>
              <w:t>Ракишева</w:t>
            </w:r>
            <w:proofErr w:type="spellEnd"/>
            <w:r w:rsidRPr="00A8053F">
              <w:rPr>
                <w:rFonts w:ascii="Times New Roman" w:hAnsi="Times New Roman" w:cs="Times New Roman"/>
              </w:rPr>
              <w:t xml:space="preserve"> З.Б.</w:t>
            </w:r>
          </w:p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6CD4" w:rsidRPr="00A8053F" w:rsidTr="00CF6CD4">
        <w:tc>
          <w:tcPr>
            <w:tcW w:w="6237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2551" w:type="dxa"/>
          </w:tcPr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8053F">
              <w:rPr>
                <w:rFonts w:ascii="Times New Roman" w:hAnsi="Times New Roman" w:cs="Times New Roman"/>
                <w:lang w:val="kk-KZ"/>
              </w:rPr>
              <w:t>Минглибаев М</w:t>
            </w:r>
            <w:r w:rsidRPr="00A8053F">
              <w:rPr>
                <w:rFonts w:ascii="Times New Roman" w:hAnsi="Times New Roman" w:cs="Times New Roman"/>
              </w:rPr>
              <w:t>.</w:t>
            </w:r>
            <w:r w:rsidRPr="00A8053F">
              <w:rPr>
                <w:rFonts w:ascii="Times New Roman" w:hAnsi="Times New Roman" w:cs="Times New Roman"/>
                <w:lang w:val="kk-KZ"/>
              </w:rPr>
              <w:t>Дж.</w:t>
            </w:r>
          </w:p>
          <w:p w:rsidR="00CF6CD4" w:rsidRPr="00A8053F" w:rsidRDefault="00CF6CD4" w:rsidP="00CF6CD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F6CD4" w:rsidRPr="00A8053F" w:rsidRDefault="00CF6CD4" w:rsidP="00AE2B3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D33070" w:rsidRPr="00A8053F" w:rsidRDefault="00D33070" w:rsidP="00AE2B3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D33070" w:rsidRPr="00A8053F" w:rsidRDefault="00D33070" w:rsidP="00AE2B3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sectPr w:rsidR="00D33070" w:rsidRPr="00A8053F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FA28B0"/>
    <w:multiLevelType w:val="hybridMultilevel"/>
    <w:tmpl w:val="638A1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008C"/>
    <w:multiLevelType w:val="multilevel"/>
    <w:tmpl w:val="E324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F00C2E"/>
    <w:multiLevelType w:val="hybridMultilevel"/>
    <w:tmpl w:val="C83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5CD"/>
    <w:multiLevelType w:val="multilevel"/>
    <w:tmpl w:val="DAB603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2595"/>
        </w:tabs>
        <w:ind w:left="25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560"/>
        </w:tabs>
        <w:ind w:left="75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240"/>
        </w:tabs>
        <w:ind w:left="12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920"/>
        </w:tabs>
        <w:ind w:left="169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9440"/>
        </w:tabs>
        <w:ind w:left="19440" w:hanging="2160"/>
      </w:pPr>
    </w:lvl>
  </w:abstractNum>
  <w:abstractNum w:abstractNumId="8">
    <w:nsid w:val="3D2C106E"/>
    <w:multiLevelType w:val="hybridMultilevel"/>
    <w:tmpl w:val="6E644B1E"/>
    <w:lvl w:ilvl="0" w:tplc="048E2640">
      <w:start w:val="1"/>
      <w:numFmt w:val="bullet"/>
      <w:lvlText w:val="-"/>
      <w:lvlJc w:val="left"/>
      <w:pPr>
        <w:ind w:left="20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9">
    <w:nsid w:val="3FEA2CD7"/>
    <w:multiLevelType w:val="hybridMultilevel"/>
    <w:tmpl w:val="C2F82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E6D15"/>
    <w:multiLevelType w:val="hybridMultilevel"/>
    <w:tmpl w:val="47D4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8185D"/>
    <w:multiLevelType w:val="hybridMultilevel"/>
    <w:tmpl w:val="3AFE7124"/>
    <w:lvl w:ilvl="0" w:tplc="F4E0E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Batang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13887"/>
    <w:multiLevelType w:val="multilevel"/>
    <w:tmpl w:val="C464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384F83"/>
    <w:multiLevelType w:val="hybridMultilevel"/>
    <w:tmpl w:val="0F92D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55359C"/>
    <w:multiLevelType w:val="hybridMultilevel"/>
    <w:tmpl w:val="90EC40D0"/>
    <w:lvl w:ilvl="0" w:tplc="50F2E8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8C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42612"/>
    <w:multiLevelType w:val="hybridMultilevel"/>
    <w:tmpl w:val="505E8888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D0EB8"/>
    <w:multiLevelType w:val="hybridMultilevel"/>
    <w:tmpl w:val="A2FE7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5463D"/>
    <w:multiLevelType w:val="hybridMultilevel"/>
    <w:tmpl w:val="AF6C467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761B2D0A"/>
    <w:multiLevelType w:val="singleLevel"/>
    <w:tmpl w:val="4042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7DC847CA"/>
    <w:multiLevelType w:val="hybridMultilevel"/>
    <w:tmpl w:val="972A9A8E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6"/>
  </w:num>
  <w:num w:numId="5">
    <w:abstractNumId w:val="21"/>
  </w:num>
  <w:num w:numId="6">
    <w:abstractNumId w:val="10"/>
  </w:num>
  <w:num w:numId="7">
    <w:abstractNumId w:val="23"/>
  </w:num>
  <w:num w:numId="8">
    <w:abstractNumId w:val="3"/>
  </w:num>
  <w:num w:numId="9">
    <w:abstractNumId w:val="14"/>
  </w:num>
  <w:num w:numId="10">
    <w:abstractNumId w:val="5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9"/>
  </w:num>
  <w:num w:numId="18">
    <w:abstractNumId w:val="12"/>
  </w:num>
  <w:num w:numId="19">
    <w:abstractNumId w:val="20"/>
  </w:num>
  <w:num w:numId="20">
    <w:abstractNumId w:val="15"/>
  </w:num>
  <w:num w:numId="21">
    <w:abstractNumId w:val="16"/>
  </w:num>
  <w:num w:numId="22">
    <w:abstractNumId w:val="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5432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7C6"/>
    <w:rsid w:val="000368B3"/>
    <w:rsid w:val="00036A96"/>
    <w:rsid w:val="00041BC4"/>
    <w:rsid w:val="0004771F"/>
    <w:rsid w:val="00051245"/>
    <w:rsid w:val="0005204D"/>
    <w:rsid w:val="00053661"/>
    <w:rsid w:val="0005374B"/>
    <w:rsid w:val="000545BF"/>
    <w:rsid w:val="0005562E"/>
    <w:rsid w:val="00057549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5A26"/>
    <w:rsid w:val="00070CBB"/>
    <w:rsid w:val="000723D3"/>
    <w:rsid w:val="000736F4"/>
    <w:rsid w:val="00074275"/>
    <w:rsid w:val="00074AE1"/>
    <w:rsid w:val="00075206"/>
    <w:rsid w:val="00075819"/>
    <w:rsid w:val="00076CA2"/>
    <w:rsid w:val="00081333"/>
    <w:rsid w:val="00083A63"/>
    <w:rsid w:val="00083FB5"/>
    <w:rsid w:val="000840E5"/>
    <w:rsid w:val="00084DDB"/>
    <w:rsid w:val="00085665"/>
    <w:rsid w:val="00087111"/>
    <w:rsid w:val="0009075D"/>
    <w:rsid w:val="00092538"/>
    <w:rsid w:val="00092C10"/>
    <w:rsid w:val="00092D9B"/>
    <w:rsid w:val="000A0C2E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0D9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4D36"/>
    <w:rsid w:val="000D6645"/>
    <w:rsid w:val="000D757E"/>
    <w:rsid w:val="000E1E3F"/>
    <w:rsid w:val="000E3030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66AA"/>
    <w:rsid w:val="0013782D"/>
    <w:rsid w:val="00142210"/>
    <w:rsid w:val="00142520"/>
    <w:rsid w:val="00143191"/>
    <w:rsid w:val="00144C52"/>
    <w:rsid w:val="00145B1F"/>
    <w:rsid w:val="00147081"/>
    <w:rsid w:val="00147AAA"/>
    <w:rsid w:val="0015099B"/>
    <w:rsid w:val="00152DB7"/>
    <w:rsid w:val="00154322"/>
    <w:rsid w:val="001549A1"/>
    <w:rsid w:val="00155C9B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1334"/>
    <w:rsid w:val="001729E6"/>
    <w:rsid w:val="00177EDF"/>
    <w:rsid w:val="001809BC"/>
    <w:rsid w:val="00180FAA"/>
    <w:rsid w:val="001814C9"/>
    <w:rsid w:val="00181B1C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D75F2"/>
    <w:rsid w:val="001F4574"/>
    <w:rsid w:val="001F6E73"/>
    <w:rsid w:val="001F6E96"/>
    <w:rsid w:val="001F799C"/>
    <w:rsid w:val="001F7AFA"/>
    <w:rsid w:val="001F7CD4"/>
    <w:rsid w:val="002027CF"/>
    <w:rsid w:val="00202C67"/>
    <w:rsid w:val="00204377"/>
    <w:rsid w:val="00204908"/>
    <w:rsid w:val="002050D5"/>
    <w:rsid w:val="00205B95"/>
    <w:rsid w:val="00206462"/>
    <w:rsid w:val="00207BB2"/>
    <w:rsid w:val="00210C70"/>
    <w:rsid w:val="00211DD0"/>
    <w:rsid w:val="002123B5"/>
    <w:rsid w:val="002125C9"/>
    <w:rsid w:val="00212676"/>
    <w:rsid w:val="00212A2D"/>
    <w:rsid w:val="00212C50"/>
    <w:rsid w:val="00212FE3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428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2E10"/>
    <w:rsid w:val="00304AAC"/>
    <w:rsid w:val="0030576E"/>
    <w:rsid w:val="003058A1"/>
    <w:rsid w:val="00306908"/>
    <w:rsid w:val="00307025"/>
    <w:rsid w:val="00307455"/>
    <w:rsid w:val="00307588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1452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3FC7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5875"/>
    <w:rsid w:val="003775D2"/>
    <w:rsid w:val="00380F52"/>
    <w:rsid w:val="00381245"/>
    <w:rsid w:val="00382941"/>
    <w:rsid w:val="003832BC"/>
    <w:rsid w:val="00385094"/>
    <w:rsid w:val="003862BA"/>
    <w:rsid w:val="00386C44"/>
    <w:rsid w:val="00390728"/>
    <w:rsid w:val="0039119C"/>
    <w:rsid w:val="0039403D"/>
    <w:rsid w:val="003943A9"/>
    <w:rsid w:val="003948D4"/>
    <w:rsid w:val="00397333"/>
    <w:rsid w:val="003A174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9FD"/>
    <w:rsid w:val="003C4A75"/>
    <w:rsid w:val="003C66B4"/>
    <w:rsid w:val="003C6F9C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060DC"/>
    <w:rsid w:val="004124CF"/>
    <w:rsid w:val="0041274B"/>
    <w:rsid w:val="0041293E"/>
    <w:rsid w:val="00414A51"/>
    <w:rsid w:val="00414EFE"/>
    <w:rsid w:val="004150FC"/>
    <w:rsid w:val="004173D6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1B10"/>
    <w:rsid w:val="004323E9"/>
    <w:rsid w:val="00433045"/>
    <w:rsid w:val="004338F4"/>
    <w:rsid w:val="00433ABB"/>
    <w:rsid w:val="004340A6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4F78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AD7"/>
    <w:rsid w:val="00465D58"/>
    <w:rsid w:val="00466E35"/>
    <w:rsid w:val="00466EC2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1BFB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507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9F0"/>
    <w:rsid w:val="005414DD"/>
    <w:rsid w:val="00544142"/>
    <w:rsid w:val="0054516F"/>
    <w:rsid w:val="005463AE"/>
    <w:rsid w:val="00546E74"/>
    <w:rsid w:val="005477DF"/>
    <w:rsid w:val="005478BE"/>
    <w:rsid w:val="00550EEC"/>
    <w:rsid w:val="005517EA"/>
    <w:rsid w:val="0055199B"/>
    <w:rsid w:val="005527B9"/>
    <w:rsid w:val="00552F0E"/>
    <w:rsid w:val="0055476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5E4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1AC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367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01A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67BA7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4986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1E38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5B5E"/>
    <w:rsid w:val="00747B15"/>
    <w:rsid w:val="007501AB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4D2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4FA1"/>
    <w:rsid w:val="007A61BC"/>
    <w:rsid w:val="007A658B"/>
    <w:rsid w:val="007A7274"/>
    <w:rsid w:val="007A7922"/>
    <w:rsid w:val="007B00BF"/>
    <w:rsid w:val="007B33C7"/>
    <w:rsid w:val="007B3C18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3431"/>
    <w:rsid w:val="007C478A"/>
    <w:rsid w:val="007D1139"/>
    <w:rsid w:val="007D1389"/>
    <w:rsid w:val="007D156D"/>
    <w:rsid w:val="007D197C"/>
    <w:rsid w:val="007D1D75"/>
    <w:rsid w:val="007D32FA"/>
    <w:rsid w:val="007D38EA"/>
    <w:rsid w:val="007D3BD5"/>
    <w:rsid w:val="007D47B3"/>
    <w:rsid w:val="007D543C"/>
    <w:rsid w:val="007E0675"/>
    <w:rsid w:val="007E1B32"/>
    <w:rsid w:val="007E238C"/>
    <w:rsid w:val="007E4592"/>
    <w:rsid w:val="007E501A"/>
    <w:rsid w:val="007E5558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04BFC"/>
    <w:rsid w:val="008102A4"/>
    <w:rsid w:val="008107D1"/>
    <w:rsid w:val="00810CC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3987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BDE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1483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3D44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3A0A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6ABC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39AD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D7029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3F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AF7766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DB9"/>
    <w:rsid w:val="00B412F8"/>
    <w:rsid w:val="00B41CAD"/>
    <w:rsid w:val="00B44F60"/>
    <w:rsid w:val="00B4727B"/>
    <w:rsid w:val="00B47C79"/>
    <w:rsid w:val="00B50410"/>
    <w:rsid w:val="00B5070A"/>
    <w:rsid w:val="00B5072C"/>
    <w:rsid w:val="00B511D0"/>
    <w:rsid w:val="00B51792"/>
    <w:rsid w:val="00B52720"/>
    <w:rsid w:val="00B53CD6"/>
    <w:rsid w:val="00B5476D"/>
    <w:rsid w:val="00B60A06"/>
    <w:rsid w:val="00B61139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2168"/>
    <w:rsid w:val="00BA41BF"/>
    <w:rsid w:val="00BA43C0"/>
    <w:rsid w:val="00BA49F2"/>
    <w:rsid w:val="00BA7A45"/>
    <w:rsid w:val="00BB0C06"/>
    <w:rsid w:val="00BB2978"/>
    <w:rsid w:val="00BB4CD9"/>
    <w:rsid w:val="00BB6D38"/>
    <w:rsid w:val="00BC083D"/>
    <w:rsid w:val="00BC0BC8"/>
    <w:rsid w:val="00BC1EDE"/>
    <w:rsid w:val="00BC272A"/>
    <w:rsid w:val="00BC281D"/>
    <w:rsid w:val="00BC2ADC"/>
    <w:rsid w:val="00BC338C"/>
    <w:rsid w:val="00BC33D6"/>
    <w:rsid w:val="00BC3C93"/>
    <w:rsid w:val="00BC5180"/>
    <w:rsid w:val="00BC714F"/>
    <w:rsid w:val="00BC7293"/>
    <w:rsid w:val="00BD2612"/>
    <w:rsid w:val="00BD32F9"/>
    <w:rsid w:val="00BD3396"/>
    <w:rsid w:val="00BD420F"/>
    <w:rsid w:val="00BD4EBA"/>
    <w:rsid w:val="00BD5125"/>
    <w:rsid w:val="00BD59AC"/>
    <w:rsid w:val="00BD59D2"/>
    <w:rsid w:val="00BD67CA"/>
    <w:rsid w:val="00BD69E4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2EA1"/>
    <w:rsid w:val="00C03A12"/>
    <w:rsid w:val="00C03E2D"/>
    <w:rsid w:val="00C057FF"/>
    <w:rsid w:val="00C05C8A"/>
    <w:rsid w:val="00C05D69"/>
    <w:rsid w:val="00C06458"/>
    <w:rsid w:val="00C066D5"/>
    <w:rsid w:val="00C06866"/>
    <w:rsid w:val="00C1063A"/>
    <w:rsid w:val="00C11FE9"/>
    <w:rsid w:val="00C12EED"/>
    <w:rsid w:val="00C13A17"/>
    <w:rsid w:val="00C14C16"/>
    <w:rsid w:val="00C16503"/>
    <w:rsid w:val="00C17A17"/>
    <w:rsid w:val="00C22B1A"/>
    <w:rsid w:val="00C23843"/>
    <w:rsid w:val="00C25226"/>
    <w:rsid w:val="00C2656D"/>
    <w:rsid w:val="00C31E14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5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359D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3ACB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6C7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6CD4"/>
    <w:rsid w:val="00CF7C73"/>
    <w:rsid w:val="00CF7F63"/>
    <w:rsid w:val="00D02F1C"/>
    <w:rsid w:val="00D03695"/>
    <w:rsid w:val="00D0405D"/>
    <w:rsid w:val="00D041DB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070"/>
    <w:rsid w:val="00D33FB2"/>
    <w:rsid w:val="00D34823"/>
    <w:rsid w:val="00D34E01"/>
    <w:rsid w:val="00D40302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53A4"/>
    <w:rsid w:val="00D7614E"/>
    <w:rsid w:val="00D801B8"/>
    <w:rsid w:val="00D81066"/>
    <w:rsid w:val="00D843AA"/>
    <w:rsid w:val="00D854CC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76F3"/>
    <w:rsid w:val="00E40B9B"/>
    <w:rsid w:val="00E43690"/>
    <w:rsid w:val="00E45458"/>
    <w:rsid w:val="00E456E4"/>
    <w:rsid w:val="00E46220"/>
    <w:rsid w:val="00E46316"/>
    <w:rsid w:val="00E47426"/>
    <w:rsid w:val="00E50278"/>
    <w:rsid w:val="00E515C1"/>
    <w:rsid w:val="00E52E57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3315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A70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2B14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5AC"/>
    <w:rsid w:val="00EE4F0A"/>
    <w:rsid w:val="00EE73FD"/>
    <w:rsid w:val="00EF02DB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6CE"/>
    <w:rsid w:val="00F00EB8"/>
    <w:rsid w:val="00F026E5"/>
    <w:rsid w:val="00F036B6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036A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910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0A63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2C5A0-9E15-4788-B2C6-32C38C98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3">
    <w:name w:val="heading 3"/>
    <w:basedOn w:val="a"/>
    <w:next w:val="a"/>
    <w:link w:val="30"/>
    <w:qFormat/>
    <w:rsid w:val="00D33070"/>
    <w:pPr>
      <w:keepNext/>
      <w:spacing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st">
    <w:name w:val="st"/>
    <w:basedOn w:val="a0"/>
    <w:rsid w:val="00FA0A63"/>
  </w:style>
  <w:style w:type="character" w:styleId="a7">
    <w:name w:val="Emphasis"/>
    <w:basedOn w:val="a0"/>
    <w:uiPriority w:val="20"/>
    <w:qFormat/>
    <w:rsid w:val="00FA0A63"/>
    <w:rPr>
      <w:i/>
      <w:iCs/>
    </w:rPr>
  </w:style>
  <w:style w:type="paragraph" w:styleId="a8">
    <w:name w:val="Body Text Indent"/>
    <w:basedOn w:val="a"/>
    <w:link w:val="a9"/>
    <w:rsid w:val="00EF0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F0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D1367"/>
    <w:rPr>
      <w:color w:val="0000FF" w:themeColor="hyperlink"/>
      <w:u w:val="single"/>
    </w:rPr>
  </w:style>
  <w:style w:type="character" w:customStyle="1" w:styleId="hps">
    <w:name w:val="hps"/>
    <w:basedOn w:val="a0"/>
    <w:rsid w:val="007804D2"/>
  </w:style>
  <w:style w:type="character" w:customStyle="1" w:styleId="apple-converted-space">
    <w:name w:val="apple-converted-space"/>
    <w:basedOn w:val="a0"/>
    <w:rsid w:val="00C17A17"/>
  </w:style>
  <w:style w:type="paragraph" w:customStyle="1" w:styleId="Default">
    <w:name w:val="Default"/>
    <w:rsid w:val="00C17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155C9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">
    <w:name w:val="footn"/>
    <w:basedOn w:val="a"/>
    <w:rsid w:val="00465AD7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31">
    <w:name w:val="Body Text 3"/>
    <w:basedOn w:val="a"/>
    <w:link w:val="32"/>
    <w:rsid w:val="00465AD7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465AD7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33070"/>
    <w:rPr>
      <w:rFonts w:ascii="Times New Roman" w:eastAsia="Batang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D33070"/>
    <w:pPr>
      <w:spacing w:after="120" w:line="48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3070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kazn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Иманова Жанар</cp:lastModifiedBy>
  <cp:revision>50</cp:revision>
  <cp:lastPrinted>2016-04-21T03:25:00Z</cp:lastPrinted>
  <dcterms:created xsi:type="dcterms:W3CDTF">2016-09-09T12:10:00Z</dcterms:created>
  <dcterms:modified xsi:type="dcterms:W3CDTF">2018-09-18T09:43:00Z</dcterms:modified>
</cp:coreProperties>
</file>